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3A8F" w:rsidRPr="0071044F" w:rsidRDefault="007E3A8F" w:rsidP="007E3A8F">
      <w:pPr>
        <w:tabs>
          <w:tab w:val="center" w:pos="4153"/>
        </w:tabs>
        <w:spacing w:line="360" w:lineRule="auto"/>
        <w:rPr>
          <w:rFonts w:asciiTheme="majorBidi" w:eastAsia="Calibri" w:hAnsiTheme="majorBidi" w:cstheme="majorBidi"/>
          <w:b/>
          <w:bCs/>
          <w:sz w:val="24"/>
          <w:szCs w:val="24"/>
        </w:rPr>
      </w:pPr>
      <w:r w:rsidRPr="0071044F">
        <w:rPr>
          <w:rFonts w:asciiTheme="majorBidi" w:eastAsia="Calibri" w:hAnsiTheme="majorBidi" w:cstheme="majorBidi"/>
          <w:b/>
          <w:bCs/>
          <w:sz w:val="24"/>
          <w:szCs w:val="24"/>
        </w:rPr>
        <w:t>Conclusion générale :</w:t>
      </w:r>
    </w:p>
    <w:p w:rsidR="007E3A8F" w:rsidRDefault="007E3A8F" w:rsidP="007E3A8F">
      <w:pPr>
        <w:tabs>
          <w:tab w:val="center" w:pos="4153"/>
        </w:tabs>
        <w:spacing w:line="360" w:lineRule="auto"/>
        <w:jc w:val="both"/>
        <w:rPr>
          <w:rFonts w:asciiTheme="majorBidi" w:eastAsia="Calibri" w:hAnsiTheme="majorBidi" w:cstheme="majorBidi"/>
          <w:sz w:val="24"/>
          <w:szCs w:val="24"/>
        </w:rPr>
      </w:pPr>
      <w:r>
        <w:rPr>
          <w:rFonts w:asciiTheme="majorBidi" w:eastAsia="Calibri" w:hAnsiTheme="majorBidi" w:cstheme="majorBidi"/>
          <w:sz w:val="24"/>
          <w:szCs w:val="24"/>
        </w:rPr>
        <w:t xml:space="preserve">       Le présent travail a été consacré à l’étude de l’inhibiteur de la corrosion de l’acier dans une solution d’acide sulfurique 0.5M.</w:t>
      </w:r>
    </w:p>
    <w:p w:rsidR="007E3A8F" w:rsidRDefault="007E3A8F" w:rsidP="007E3A8F">
      <w:pPr>
        <w:tabs>
          <w:tab w:val="center" w:pos="4153"/>
        </w:tabs>
        <w:spacing w:line="360" w:lineRule="auto"/>
        <w:jc w:val="both"/>
        <w:rPr>
          <w:rFonts w:asciiTheme="majorBidi" w:eastAsia="Calibri" w:hAnsiTheme="majorBidi" w:cstheme="majorBidi"/>
          <w:sz w:val="24"/>
          <w:szCs w:val="24"/>
        </w:rPr>
      </w:pPr>
      <w:r>
        <w:rPr>
          <w:rFonts w:asciiTheme="majorBidi" w:eastAsia="Calibri" w:hAnsiTheme="majorBidi" w:cstheme="majorBidi"/>
          <w:sz w:val="24"/>
          <w:szCs w:val="24"/>
        </w:rPr>
        <w:t xml:space="preserve">      Ce travail avait pour objectif d’étudier l’efficacité inhibitrice de </w:t>
      </w:r>
      <w:proofErr w:type="spellStart"/>
      <w:r>
        <w:rPr>
          <w:rFonts w:asciiTheme="majorBidi" w:eastAsia="Calibri" w:hAnsiTheme="majorBidi" w:cstheme="majorBidi"/>
          <w:sz w:val="24"/>
          <w:szCs w:val="24"/>
        </w:rPr>
        <w:t>ferrocène</w:t>
      </w:r>
      <w:proofErr w:type="spellEnd"/>
      <w:r>
        <w:rPr>
          <w:rFonts w:asciiTheme="majorBidi" w:eastAsia="Calibri" w:hAnsiTheme="majorBidi" w:cstheme="majorBidi"/>
          <w:sz w:val="24"/>
          <w:szCs w:val="24"/>
        </w:rPr>
        <w:t xml:space="preserve"> sur la corrosion de l’acier dans le milieu acide, l’évolution de protecteur de cet inhibiteur s’est fait par l’</w:t>
      </w:r>
      <w:proofErr w:type="spellStart"/>
      <w:r>
        <w:rPr>
          <w:rFonts w:asciiTheme="majorBidi" w:eastAsia="Calibri" w:hAnsiTheme="majorBidi" w:cstheme="majorBidi"/>
          <w:sz w:val="24"/>
          <w:szCs w:val="24"/>
        </w:rPr>
        <w:t>abondon</w:t>
      </w:r>
      <w:proofErr w:type="spellEnd"/>
      <w:r>
        <w:rPr>
          <w:rFonts w:asciiTheme="majorBidi" w:eastAsia="Calibri" w:hAnsiTheme="majorBidi" w:cstheme="majorBidi"/>
          <w:sz w:val="24"/>
          <w:szCs w:val="24"/>
        </w:rPr>
        <w:t>, les courbes de polarisation et en fin la spectroscopie d’impédance électrochimique.</w:t>
      </w:r>
    </w:p>
    <w:p w:rsidR="007E3A8F" w:rsidRDefault="007E3A8F" w:rsidP="007E3A8F">
      <w:pPr>
        <w:tabs>
          <w:tab w:val="center" w:pos="4153"/>
        </w:tabs>
        <w:spacing w:line="360" w:lineRule="auto"/>
        <w:jc w:val="both"/>
        <w:rPr>
          <w:rFonts w:asciiTheme="majorBidi" w:eastAsia="Calibri" w:hAnsiTheme="majorBidi" w:cstheme="majorBidi"/>
          <w:sz w:val="24"/>
          <w:szCs w:val="24"/>
        </w:rPr>
      </w:pPr>
      <w:r>
        <w:rPr>
          <w:rFonts w:asciiTheme="majorBidi" w:eastAsia="Calibri" w:hAnsiTheme="majorBidi" w:cstheme="majorBidi"/>
          <w:sz w:val="24"/>
          <w:szCs w:val="24"/>
        </w:rPr>
        <w:t xml:space="preserve">        L’efficacité inhibitrice de ce composé augmente d’une part avec la concentration de l’inhibiteur (77.52 % ; 0.006 g/l).</w:t>
      </w:r>
    </w:p>
    <w:p w:rsidR="007E3A8F" w:rsidRDefault="007E3A8F" w:rsidP="007E3A8F">
      <w:pPr>
        <w:tabs>
          <w:tab w:val="center" w:pos="4153"/>
        </w:tabs>
        <w:spacing w:line="360" w:lineRule="auto"/>
        <w:jc w:val="both"/>
        <w:rPr>
          <w:rFonts w:asciiTheme="majorBidi" w:eastAsia="Calibri" w:hAnsiTheme="majorBidi" w:cstheme="majorBidi"/>
          <w:sz w:val="24"/>
          <w:szCs w:val="24"/>
        </w:rPr>
      </w:pPr>
      <w:r>
        <w:rPr>
          <w:rFonts w:asciiTheme="majorBidi" w:eastAsia="Calibri" w:hAnsiTheme="majorBidi" w:cstheme="majorBidi"/>
          <w:sz w:val="24"/>
          <w:szCs w:val="24"/>
        </w:rPr>
        <w:t xml:space="preserve">         Il en résulte que la diminution de l’intensité du courant de corrosion, dans les conditions opératoires appliquées, suggère un effet inhibiteur plus ou moins important selon les concentrations.</w:t>
      </w:r>
    </w:p>
    <w:p w:rsidR="007E3A8F" w:rsidRDefault="007E3A8F" w:rsidP="007E3A8F">
      <w:pPr>
        <w:tabs>
          <w:tab w:val="center" w:pos="4153"/>
        </w:tabs>
        <w:spacing w:line="360" w:lineRule="auto"/>
        <w:jc w:val="both"/>
        <w:rPr>
          <w:rFonts w:asciiTheme="majorBidi" w:eastAsia="Calibri" w:hAnsiTheme="majorBidi" w:cstheme="majorBidi"/>
          <w:sz w:val="24"/>
          <w:szCs w:val="24"/>
        </w:rPr>
      </w:pPr>
      <w:r>
        <w:rPr>
          <w:rFonts w:asciiTheme="majorBidi" w:eastAsia="Calibri" w:hAnsiTheme="majorBidi" w:cstheme="majorBidi"/>
          <w:sz w:val="24"/>
          <w:szCs w:val="24"/>
        </w:rPr>
        <w:t xml:space="preserve">         L’analyse des résultats d’impédance électrochimique à la basse fréquence de l’acier a montré que l’inhibition est due à la formation d’un dépôt et stable que limite la corrosion.</w:t>
      </w:r>
    </w:p>
    <w:p w:rsidR="007E3A8F" w:rsidRDefault="007E3A8F" w:rsidP="007E3A8F">
      <w:pPr>
        <w:tabs>
          <w:tab w:val="center" w:pos="4153"/>
        </w:tabs>
        <w:spacing w:line="360" w:lineRule="auto"/>
        <w:rPr>
          <w:rFonts w:asciiTheme="majorBidi" w:eastAsia="Calibri" w:hAnsiTheme="majorBidi" w:cstheme="majorBidi"/>
          <w:sz w:val="24"/>
          <w:szCs w:val="24"/>
        </w:rPr>
      </w:pPr>
      <w:r>
        <w:rPr>
          <w:rFonts w:asciiTheme="majorBidi" w:eastAsia="Calibri" w:hAnsiTheme="majorBidi" w:cstheme="majorBidi"/>
          <w:sz w:val="24"/>
          <w:szCs w:val="24"/>
        </w:rPr>
        <w:t xml:space="preserve">       Le résultat trouvé d’après cette étude : le composé FCAN se comporte comme les inhibiteurs </w:t>
      </w:r>
    </w:p>
    <w:p w:rsidR="007E3A8F" w:rsidRDefault="007E3A8F" w:rsidP="007E3A8F">
      <w:pPr>
        <w:tabs>
          <w:tab w:val="center" w:pos="4153"/>
        </w:tabs>
        <w:spacing w:line="360" w:lineRule="auto"/>
        <w:rPr>
          <w:rFonts w:asciiTheme="majorBidi" w:eastAsia="Calibri" w:hAnsiTheme="majorBidi" w:cstheme="majorBidi"/>
          <w:sz w:val="24"/>
          <w:szCs w:val="24"/>
        </w:rPr>
      </w:pPr>
      <w:r>
        <w:rPr>
          <w:rFonts w:asciiTheme="majorBidi" w:eastAsia="Calibri" w:hAnsiTheme="majorBidi" w:cstheme="majorBidi"/>
          <w:sz w:val="24"/>
          <w:szCs w:val="24"/>
        </w:rPr>
        <w:t>Cathodique.</w:t>
      </w:r>
    </w:p>
    <w:p w:rsidR="007E3A8F" w:rsidRDefault="007E3A8F" w:rsidP="007E3A8F">
      <w:pPr>
        <w:tabs>
          <w:tab w:val="center" w:pos="4153"/>
        </w:tabs>
        <w:spacing w:line="360" w:lineRule="auto"/>
        <w:rPr>
          <w:rFonts w:asciiTheme="majorBidi" w:eastAsia="Calibri" w:hAnsiTheme="majorBidi" w:cstheme="majorBidi"/>
          <w:sz w:val="24"/>
          <w:szCs w:val="24"/>
        </w:rPr>
      </w:pPr>
      <w:r>
        <w:rPr>
          <w:rFonts w:asciiTheme="majorBidi" w:eastAsia="Calibri" w:hAnsiTheme="majorBidi" w:cstheme="majorBidi"/>
          <w:sz w:val="24"/>
          <w:szCs w:val="24"/>
        </w:rPr>
        <w:t xml:space="preserve">        De là on peut conclure que ce composé est un excellent inhibiteur pour l’acier en milieu acide, même à très basses concentration. </w:t>
      </w:r>
    </w:p>
    <w:p w:rsidR="001368D2" w:rsidRDefault="00315EF7">
      <w:bookmarkStart w:id="0" w:name="_GoBack"/>
      <w:bookmarkEnd w:id="0"/>
    </w:p>
    <w:sectPr w:rsidR="001368D2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3A8F" w:rsidRDefault="007E3A8F" w:rsidP="007E3A8F">
      <w:pPr>
        <w:spacing w:after="0" w:line="240" w:lineRule="auto"/>
      </w:pPr>
      <w:r>
        <w:separator/>
      </w:r>
    </w:p>
  </w:endnote>
  <w:endnote w:type="continuationSeparator" w:id="0">
    <w:p w:rsidR="007E3A8F" w:rsidRDefault="007E3A8F" w:rsidP="007E3A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76239673"/>
      <w:docPartObj>
        <w:docPartGallery w:val="Page Numbers (Bottom of Page)"/>
        <w:docPartUnique/>
      </w:docPartObj>
    </w:sdtPr>
    <w:sdtContent>
      <w:p w:rsidR="007E3A8F" w:rsidRDefault="007E3A8F">
        <w:pPr>
          <w:pStyle w:val="Footer"/>
        </w:pPr>
        <w:r>
          <w:rPr>
            <w:rFonts w:asciiTheme="majorHAnsi" w:hAnsiTheme="majorHAnsi"/>
            <w:noProof/>
            <w:sz w:val="28"/>
            <w:szCs w:val="28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margin">
                    <wp:align>center</wp:align>
                  </wp:positionH>
                  <wp:positionV relativeFrom="bottomMargin">
                    <wp:align>center</wp:align>
                  </wp:positionV>
                  <wp:extent cx="1282700" cy="343535"/>
                  <wp:effectExtent l="28575" t="19050" r="22225" b="8890"/>
                  <wp:wrapNone/>
                  <wp:docPr id="1" name="Curved Down Ribbon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21600000">
                            <a:off x="0" y="0"/>
                            <a:ext cx="1282700" cy="343535"/>
                          </a:xfrm>
                          <a:prstGeom prst="ellipseRibbon">
                            <a:avLst>
                              <a:gd name="adj1" fmla="val 25000"/>
                              <a:gd name="adj2" fmla="val 50000"/>
                              <a:gd name="adj3" fmla="val 12500"/>
                            </a:avLst>
                          </a:prstGeom>
                          <a:noFill/>
                          <a:ln w="9525">
                            <a:solidFill>
                              <a:schemeClr val="tx2">
                                <a:lumMod val="50000"/>
                                <a:lumOff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tx2">
                                    <a:lumMod val="75000"/>
                                    <a:lumOff val="0"/>
                                  </a:schemeClr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7E3A8F" w:rsidRDefault="007E3A8F">
                              <w:pPr>
                                <w:jc w:val="center"/>
                                <w:rPr>
                                  <w:color w:val="4F81BD" w:themeColor="accent1"/>
                                </w:rPr>
                              </w:pPr>
                              <w:r>
                                <w:t>47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107" coordsize="21600,21600" o:spt="107" adj="5400,5400,18900" path="ar@9@38@8@37,0@27@0@26@9@13@8@4@0@25@22@25@9@38@8@37@22@26@3@27l@7@40@3,wa@9@35@8@10@3,0@21@33@9@36@8@1@21@31@20@31@9@35@8@10@20@33,,l@5@40xewr@9@36@8@1@20@31@0@32nfl@20@33ear@9@36@8@1@21@31@22@32nfl@21@33em@0@26nfl@0@32em@22@26nfl@22@32e">
                  <v:formulas>
                    <v:f eqn="val #0"/>
                    <v:f eqn="val #1"/>
                    <v:f eqn="val #2"/>
                    <v:f eqn="val width"/>
                    <v:f eqn="val height"/>
                    <v:f eqn="prod width 1 8"/>
                    <v:f eqn="prod width 1 2"/>
                    <v:f eqn="prod width 7 8"/>
                    <v:f eqn="prod width 3 2"/>
                    <v:f eqn="sum 0 0 @6"/>
                    <v:f eqn="sum height 0 #2"/>
                    <v:f eqn="prod @10 30573 4096"/>
                    <v:f eqn="prod @11 2 1"/>
                    <v:f eqn="sum height 0 @12"/>
                    <v:f eqn="sum @11 #2 0"/>
                    <v:f eqn="sum @11 height #1"/>
                    <v:f eqn="sum height 0 #1"/>
                    <v:f eqn="prod @16 1 2"/>
                    <v:f eqn="sum @11 @17 0"/>
                    <v:f eqn="sum @14 #1 height"/>
                    <v:f eqn="sum #0 @5 0"/>
                    <v:f eqn="sum width 0 @20"/>
                    <v:f eqn="sum width 0 #0"/>
                    <v:f eqn="sum @6 0 #0"/>
                    <v:f eqn="ellipse @23 width @11"/>
                    <v:f eqn="sum @24 height @11"/>
                    <v:f eqn="sum @25 @11 @19"/>
                    <v:f eqn="sum #2 @11 @19"/>
                    <v:f eqn="prod @11 2391 32768"/>
                    <v:f eqn="sum @6 0 @20"/>
                    <v:f eqn="ellipse @29 width @11"/>
                    <v:f eqn="sum #1 @30 @11"/>
                    <v:f eqn="sum @25 #1 height"/>
                    <v:f eqn="sum height @30 @14"/>
                    <v:f eqn="sum @11 @14 0"/>
                    <v:f eqn="sum height 0 @34"/>
                    <v:f eqn="sum @35 @19 @11"/>
                    <v:f eqn="sum @10 @15 @11"/>
                    <v:f eqn="sum @35 @15 @11"/>
                    <v:f eqn="sum @28 @14 @18"/>
                    <v:f eqn="sum height 0 @39"/>
                    <v:f eqn="sum @19 0 @18"/>
                    <v:f eqn="prod @41 2 3"/>
                    <v:f eqn="sum #1 0 @42"/>
                    <v:f eqn="sum #2 0 @42"/>
                    <v:f eqn="min @44 20925"/>
                    <v:f eqn="prod width 3 8"/>
                    <v:f eqn="sum @46 0 4"/>
                  </v:formulas>
                  <v:path o:extrusionok="f" o:connecttype="custom" o:connectlocs="@6,@1;@5,@40;@6,@4;@7,@40" o:connectangles="270,180,90,0" textboxrect="@0,@1,@22,@25"/>
                  <v:handles>
                    <v:h position="#0,bottomRight" xrange="@5,@47"/>
                    <v:h position="center,#1" yrange="@10,@43"/>
                    <v:h position="topLeft,#2" yrange="@27,@45"/>
                  </v:handles>
                  <o:complex v:ext="view"/>
                </v:shapetype>
                <v:shape id="Curved Down Ribbon 1" o:spid="_x0000_s1026" type="#_x0000_t107" style="position:absolute;margin-left:0;margin-top:0;width:101pt;height:27.05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" filled="f" fillcolor="#17365d [2415]" strokecolor="#71a0dc [1631]">
                  <v:textbox>
                    <w:txbxContent>
                      <w:p w:rsidR="007E3A8F" w:rsidRDefault="007E3A8F">
                        <w:pPr>
                          <w:jc w:val="center"/>
                          <w:rPr>
                            <w:color w:val="4F81BD" w:themeColor="accent1"/>
                          </w:rPr>
                        </w:pPr>
                        <w:r>
                          <w:t>47</w:t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3A8F" w:rsidRDefault="007E3A8F" w:rsidP="007E3A8F">
      <w:pPr>
        <w:spacing w:after="0" w:line="240" w:lineRule="auto"/>
      </w:pPr>
      <w:r>
        <w:separator/>
      </w:r>
    </w:p>
  </w:footnote>
  <w:footnote w:type="continuationSeparator" w:id="0">
    <w:p w:rsidR="007E3A8F" w:rsidRDefault="007E3A8F" w:rsidP="007E3A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Bidi" w:eastAsia="Calibri" w:hAnsiTheme="majorBidi" w:cstheme="majorBidi"/>
        <w:b/>
        <w:bCs/>
        <w:sz w:val="24"/>
        <w:szCs w:val="24"/>
        <w:rtl/>
      </w:rPr>
      <w:alias w:val="Title"/>
      <w:id w:val="77738743"/>
      <w:placeholder>
        <w:docPart w:val="A2B3600533E84A44A48F93C00BED41E7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7E3A8F" w:rsidRDefault="007E3A8F" w:rsidP="007E3A8F">
        <w:pPr>
          <w:pStyle w:val="Header"/>
          <w:pBdr>
            <w:bottom w:val="thickThinSmallGap" w:sz="24" w:space="1" w:color="622423" w:themeColor="accent2" w:themeShade="7F"/>
          </w:pBdr>
          <w:bidi/>
          <w:rPr>
            <w:rFonts w:asciiTheme="majorHAnsi" w:eastAsiaTheme="majorEastAsia" w:hAnsiTheme="majorHAnsi" w:cstheme="majorBidi"/>
            <w:sz w:val="32"/>
            <w:szCs w:val="32"/>
          </w:rPr>
        </w:pPr>
        <w:r w:rsidRPr="007E3A8F">
          <w:rPr>
            <w:rFonts w:asciiTheme="majorBidi" w:eastAsia="Calibri" w:hAnsiTheme="majorBidi" w:cstheme="majorBidi"/>
            <w:b/>
            <w:bCs/>
            <w:sz w:val="24"/>
            <w:szCs w:val="24"/>
          </w:rPr>
          <w:t>Conclusion générale</w:t>
        </w:r>
      </w:p>
    </w:sdtContent>
  </w:sdt>
  <w:p w:rsidR="007E3A8F" w:rsidRDefault="007E3A8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3FC"/>
    <w:rsid w:val="00315EF7"/>
    <w:rsid w:val="005D3142"/>
    <w:rsid w:val="0072355D"/>
    <w:rsid w:val="007E3A8F"/>
    <w:rsid w:val="008863FC"/>
    <w:rsid w:val="00B449F7"/>
    <w:rsid w:val="00B51978"/>
    <w:rsid w:val="00C4775F"/>
    <w:rsid w:val="00D61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3A8F"/>
    <w:pPr>
      <w:spacing w:line="288" w:lineRule="auto"/>
    </w:pPr>
    <w:rPr>
      <w:rFonts w:eastAsiaTheme="minorEastAsia"/>
      <w:sz w:val="21"/>
      <w:szCs w:val="21"/>
      <w:lang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E3A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3A8F"/>
    <w:rPr>
      <w:rFonts w:eastAsiaTheme="minorEastAsia"/>
      <w:sz w:val="21"/>
      <w:szCs w:val="21"/>
      <w:lang w:eastAsia="fr-FR"/>
    </w:rPr>
  </w:style>
  <w:style w:type="paragraph" w:styleId="Footer">
    <w:name w:val="footer"/>
    <w:basedOn w:val="Normal"/>
    <w:link w:val="FooterChar"/>
    <w:uiPriority w:val="99"/>
    <w:unhideWhenUsed/>
    <w:rsid w:val="007E3A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3A8F"/>
    <w:rPr>
      <w:rFonts w:eastAsiaTheme="minorEastAsia"/>
      <w:sz w:val="21"/>
      <w:szCs w:val="21"/>
      <w:lang w:eastAsia="fr-F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3A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3A8F"/>
    <w:rPr>
      <w:rFonts w:ascii="Tahoma" w:eastAsiaTheme="minorEastAsia" w:hAnsi="Tahoma" w:cs="Tahoma"/>
      <w:sz w:val="16"/>
      <w:szCs w:val="16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3A8F"/>
    <w:pPr>
      <w:spacing w:line="288" w:lineRule="auto"/>
    </w:pPr>
    <w:rPr>
      <w:rFonts w:eastAsiaTheme="minorEastAsia"/>
      <w:sz w:val="21"/>
      <w:szCs w:val="21"/>
      <w:lang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E3A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3A8F"/>
    <w:rPr>
      <w:rFonts w:eastAsiaTheme="minorEastAsia"/>
      <w:sz w:val="21"/>
      <w:szCs w:val="21"/>
      <w:lang w:eastAsia="fr-FR"/>
    </w:rPr>
  </w:style>
  <w:style w:type="paragraph" w:styleId="Footer">
    <w:name w:val="footer"/>
    <w:basedOn w:val="Normal"/>
    <w:link w:val="FooterChar"/>
    <w:uiPriority w:val="99"/>
    <w:unhideWhenUsed/>
    <w:rsid w:val="007E3A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3A8F"/>
    <w:rPr>
      <w:rFonts w:eastAsiaTheme="minorEastAsia"/>
      <w:sz w:val="21"/>
      <w:szCs w:val="21"/>
      <w:lang w:eastAsia="fr-F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3A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3A8F"/>
    <w:rPr>
      <w:rFonts w:ascii="Tahoma" w:eastAsiaTheme="minorEastAsia" w:hAnsi="Tahoma" w:cs="Tahoma"/>
      <w:sz w:val="16"/>
      <w:szCs w:val="16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A2B3600533E84A44A48F93C00BED41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91F55A-28B1-4774-8A07-C43E7B3E3F2B}"/>
      </w:docPartPr>
      <w:docPartBody>
        <w:p w:rsidR="00000000" w:rsidRDefault="00D52B05" w:rsidP="00D52B05">
          <w:pPr>
            <w:pStyle w:val="A2B3600533E84A44A48F93C00BED41E7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2B05"/>
    <w:rsid w:val="00D52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2B3600533E84A44A48F93C00BED41E7">
    <w:name w:val="A2B3600533E84A44A48F93C00BED41E7"/>
    <w:rsid w:val="00D52B05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2B3600533E84A44A48F93C00BED41E7">
    <w:name w:val="A2B3600533E84A44A48F93C00BED41E7"/>
    <w:rsid w:val="00D52B0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187</Words>
  <Characters>1031</Characters>
  <Application>Microsoft Office Word</Application>
  <DocSecurity>0</DocSecurity>
  <Lines>8</Lines>
  <Paragraphs>2</Paragraphs>
  <ScaleCrop>false</ScaleCrop>
  <Company/>
  <LinksUpToDate>false</LinksUpToDate>
  <CharactersWithSpaces>1216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Conclusion générale</dc:title>
  <dc:subject/>
  <dc:creator>kholoud</dc:creator>
  <cp:keywords/>
  <dc:description/>
  <cp:lastModifiedBy>kholoud</cp:lastModifiedBy>
  <cp:revision>3</cp:revision>
  <dcterms:created xsi:type="dcterms:W3CDTF">2022-06-25T08:52:00Z</dcterms:created>
  <dcterms:modified xsi:type="dcterms:W3CDTF">2022-06-25T08:53:00Z</dcterms:modified>
</cp:coreProperties>
</file>