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28AF" w:rsidRPr="00B228AF" w:rsidRDefault="00833DC7" w:rsidP="003B24FB">
      <w:pPr>
        <w:jc w:val="both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Résume</w:t>
      </w:r>
    </w:p>
    <w:p w:rsidR="001E3A9B" w:rsidRDefault="001E3A9B" w:rsidP="003B24FB">
      <w:pPr>
        <w:ind w:firstLine="284"/>
        <w:jc w:val="both"/>
        <w:rPr>
          <w:rFonts w:asciiTheme="majorBidi" w:hAnsiTheme="majorBidi" w:cstheme="majorBidi"/>
          <w:sz w:val="24"/>
          <w:szCs w:val="24"/>
        </w:rPr>
      </w:pPr>
      <w:r w:rsidRPr="001E3A9B">
        <w:rPr>
          <w:rFonts w:asciiTheme="majorBidi" w:hAnsiTheme="majorBidi" w:cstheme="majorBidi"/>
          <w:sz w:val="24"/>
          <w:szCs w:val="24"/>
        </w:rPr>
        <w:t xml:space="preserve">On  étudie  numériquement  la  convection  naturelle  laminaire  dans  une  enceinte  carrée  avec chauffage </w:t>
      </w:r>
      <w:r>
        <w:rPr>
          <w:rFonts w:asciiTheme="majorBidi" w:hAnsiTheme="majorBidi" w:cstheme="majorBidi"/>
          <w:sz w:val="24"/>
          <w:szCs w:val="24"/>
        </w:rPr>
        <w:t>constante et périodique</w:t>
      </w:r>
      <w:r w:rsidRPr="001E3A9B">
        <w:rPr>
          <w:rFonts w:asciiTheme="majorBidi" w:hAnsiTheme="majorBidi" w:cstheme="majorBidi"/>
          <w:sz w:val="24"/>
          <w:szCs w:val="24"/>
        </w:rPr>
        <w:t xml:space="preserve"> de la paroi inférieure et refro</w:t>
      </w:r>
      <w:r>
        <w:rPr>
          <w:rFonts w:asciiTheme="majorBidi" w:hAnsiTheme="majorBidi" w:cstheme="majorBidi"/>
          <w:sz w:val="24"/>
          <w:szCs w:val="24"/>
        </w:rPr>
        <w:t xml:space="preserve">idissement isotherme des parois latérales. </w:t>
      </w:r>
      <w:r w:rsidRPr="001E3A9B">
        <w:rPr>
          <w:rFonts w:asciiTheme="majorBidi" w:hAnsiTheme="majorBidi" w:cstheme="majorBidi"/>
          <w:sz w:val="24"/>
          <w:szCs w:val="24"/>
        </w:rPr>
        <w:t xml:space="preserve">Le mur supérieur </w:t>
      </w:r>
      <w:r>
        <w:rPr>
          <w:rFonts w:asciiTheme="majorBidi" w:hAnsiTheme="majorBidi" w:cstheme="majorBidi"/>
          <w:sz w:val="24"/>
          <w:szCs w:val="24"/>
        </w:rPr>
        <w:t>considéré comme adiabatique.</w:t>
      </w:r>
    </w:p>
    <w:p w:rsidR="001E3A9B" w:rsidRDefault="001E3A9B" w:rsidP="003B24FB">
      <w:pPr>
        <w:ind w:firstLine="284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Les </w:t>
      </w:r>
      <w:r w:rsidRPr="001E3A9B">
        <w:rPr>
          <w:rFonts w:asciiTheme="majorBidi" w:hAnsiTheme="majorBidi" w:cstheme="majorBidi"/>
          <w:sz w:val="24"/>
          <w:szCs w:val="24"/>
        </w:rPr>
        <w:t>formes permanentes des équations de Navier-Stokes en deux dimensions et les équations de conservation de la masse et de l'énergie, seront résolues par la méthode des volumes fi</w:t>
      </w:r>
      <w:r>
        <w:rPr>
          <w:rFonts w:asciiTheme="majorBidi" w:hAnsiTheme="majorBidi" w:cstheme="majorBidi"/>
          <w:sz w:val="24"/>
          <w:szCs w:val="24"/>
        </w:rPr>
        <w:t>nis en basant sur l’approximation de Boussinesq</w:t>
      </w:r>
      <w:r w:rsidRPr="001E3A9B">
        <w:rPr>
          <w:rFonts w:asciiTheme="majorBidi" w:hAnsiTheme="majorBidi" w:cstheme="majorBidi"/>
          <w:sz w:val="24"/>
          <w:szCs w:val="24"/>
        </w:rPr>
        <w:t>. Le nombre de Rayleigh a été v</w:t>
      </w:r>
      <w:bookmarkStart w:id="0" w:name="_GoBack"/>
      <w:bookmarkEnd w:id="0"/>
      <w:r w:rsidRPr="001E3A9B">
        <w:rPr>
          <w:rFonts w:asciiTheme="majorBidi" w:hAnsiTheme="majorBidi" w:cstheme="majorBidi"/>
          <w:sz w:val="24"/>
          <w:szCs w:val="24"/>
        </w:rPr>
        <w:t>arié dans l’intervalle 10</w:t>
      </w:r>
      <w:r w:rsidRPr="001E3A9B">
        <w:rPr>
          <w:rFonts w:asciiTheme="majorBidi" w:hAnsiTheme="majorBidi" w:cstheme="majorBidi"/>
          <w:sz w:val="24"/>
          <w:szCs w:val="24"/>
          <w:vertAlign w:val="superscript"/>
        </w:rPr>
        <w:t>3</w:t>
      </w:r>
      <w:r w:rsidRPr="001E3A9B">
        <w:rPr>
          <w:rFonts w:asciiTheme="majorBidi" w:hAnsiTheme="majorBidi" w:cstheme="majorBidi"/>
          <w:sz w:val="24"/>
          <w:szCs w:val="24"/>
        </w:rPr>
        <w:t>-10</w:t>
      </w:r>
      <w:r>
        <w:rPr>
          <w:rFonts w:asciiTheme="majorBidi" w:hAnsiTheme="majorBidi" w:cstheme="majorBidi"/>
          <w:sz w:val="24"/>
          <w:szCs w:val="24"/>
          <w:vertAlign w:val="superscript"/>
        </w:rPr>
        <w:t>5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1E3A9B" w:rsidRDefault="001E3A9B" w:rsidP="003B24FB">
      <w:pPr>
        <w:ind w:firstLine="284"/>
        <w:jc w:val="both"/>
        <w:rPr>
          <w:rFonts w:asciiTheme="majorBidi" w:hAnsiTheme="majorBidi" w:cstheme="majorBidi"/>
          <w:sz w:val="24"/>
          <w:szCs w:val="24"/>
        </w:rPr>
      </w:pPr>
      <w:r w:rsidRPr="001E3A9B">
        <w:rPr>
          <w:rFonts w:asciiTheme="majorBidi" w:hAnsiTheme="majorBidi" w:cstheme="majorBidi"/>
          <w:sz w:val="24"/>
          <w:szCs w:val="24"/>
        </w:rPr>
        <w:t xml:space="preserve">Les fonctions de courant et les isothermes seront présentées pour diverses combinaisons de </w:t>
      </w:r>
      <w:r w:rsidRPr="001E3A9B">
        <w:rPr>
          <w:rFonts w:asciiTheme="majorBidi" w:hAnsiTheme="majorBidi" w:cstheme="majorBidi"/>
          <w:i/>
          <w:iCs/>
          <w:sz w:val="24"/>
          <w:szCs w:val="24"/>
        </w:rPr>
        <w:t>Ra</w:t>
      </w:r>
      <w:r w:rsidRPr="001E3A9B">
        <w:rPr>
          <w:rFonts w:asciiTheme="majorBidi" w:hAnsiTheme="majorBidi" w:cstheme="majorBidi"/>
          <w:sz w:val="24"/>
          <w:szCs w:val="24"/>
        </w:rPr>
        <w:t xml:space="preserve"> et de la </w:t>
      </w:r>
      <w:r>
        <w:rPr>
          <w:rFonts w:asciiTheme="majorBidi" w:hAnsiTheme="majorBidi" w:cstheme="majorBidi"/>
          <w:sz w:val="24"/>
          <w:szCs w:val="24"/>
        </w:rPr>
        <w:t xml:space="preserve">condition de chauffage. </w:t>
      </w:r>
      <w:r w:rsidRPr="001E3A9B">
        <w:rPr>
          <w:rFonts w:asciiTheme="majorBidi" w:hAnsiTheme="majorBidi" w:cstheme="majorBidi"/>
          <w:sz w:val="24"/>
          <w:szCs w:val="24"/>
        </w:rPr>
        <w:t xml:space="preserve">Les résultats seront aussi présentés sous forme de Nombre de Nusselt local et moyen sur la paroi </w:t>
      </w:r>
      <w:r>
        <w:rPr>
          <w:rFonts w:asciiTheme="majorBidi" w:hAnsiTheme="majorBidi" w:cstheme="majorBidi"/>
          <w:sz w:val="24"/>
          <w:szCs w:val="24"/>
        </w:rPr>
        <w:t>chauffée.</w:t>
      </w:r>
    </w:p>
    <w:p w:rsidR="005D1F09" w:rsidRPr="001E3A9B" w:rsidRDefault="005D1F09" w:rsidP="003B24FB">
      <w:pPr>
        <w:ind w:firstLine="284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Les résultats montrent que l</w:t>
      </w:r>
      <w:r w:rsidRPr="005D1F09">
        <w:rPr>
          <w:rFonts w:asciiTheme="majorBidi" w:hAnsiTheme="majorBidi" w:cstheme="majorBidi"/>
          <w:sz w:val="24"/>
          <w:szCs w:val="24"/>
        </w:rPr>
        <w:t>es contours de fonctions de courant et les isothermes sont symétriques autour du centre de la ligne verticale pour les deux cas.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5D1F09">
        <w:rPr>
          <w:rFonts w:asciiTheme="majorBidi" w:hAnsiTheme="majorBidi" w:cstheme="majorBidi"/>
          <w:sz w:val="24"/>
          <w:szCs w:val="24"/>
        </w:rPr>
        <w:t>L’intensité des fonctions de courant est plus grande pour le cas de chauffage uniforme par rapport au cas de chauffage sinusoïdal pour toutes les valeurs de nombre de Rayleigh.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5D1F09">
        <w:rPr>
          <w:rFonts w:asciiTheme="majorBidi" w:hAnsiTheme="majorBidi" w:cstheme="majorBidi"/>
          <w:sz w:val="24"/>
          <w:szCs w:val="24"/>
        </w:rPr>
        <w:t xml:space="preserve">Le nombre de Nusselt moyen augmente avec l'augmentation de </w:t>
      </w:r>
      <w:r w:rsidRPr="005D1F09">
        <w:rPr>
          <w:rFonts w:asciiTheme="majorBidi" w:hAnsiTheme="majorBidi" w:cstheme="majorBidi"/>
          <w:i/>
          <w:iCs/>
          <w:sz w:val="24"/>
          <w:szCs w:val="24"/>
        </w:rPr>
        <w:t>Ra</w:t>
      </w:r>
      <w:r w:rsidRPr="005D1F09">
        <w:rPr>
          <w:rFonts w:asciiTheme="majorBidi" w:hAnsiTheme="majorBidi" w:cstheme="majorBidi"/>
          <w:sz w:val="24"/>
          <w:szCs w:val="24"/>
        </w:rPr>
        <w:t xml:space="preserve"> à sur paroi inférieure.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5D1F09">
        <w:rPr>
          <w:rFonts w:asciiTheme="majorBidi" w:hAnsiTheme="majorBidi" w:cstheme="majorBidi"/>
          <w:sz w:val="24"/>
          <w:szCs w:val="24"/>
        </w:rPr>
        <w:t>Le nombre de Nusselt moyen pour le cas de la paroi de fond est maintenue à une température constante est supérieur à celle maintenue à une température sinusoïdale sur la paroi chaude.</w:t>
      </w:r>
    </w:p>
    <w:p w:rsidR="003B24FB" w:rsidRDefault="003B24FB" w:rsidP="003B24FB">
      <w:pPr>
        <w:jc w:val="both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E82CCE" w:rsidRPr="00B228AF" w:rsidRDefault="00E82CCE" w:rsidP="003B24FB">
      <w:pPr>
        <w:jc w:val="both"/>
        <w:rPr>
          <w:rFonts w:asciiTheme="majorBidi" w:hAnsiTheme="majorBidi" w:cstheme="majorBidi"/>
          <w:sz w:val="24"/>
          <w:szCs w:val="24"/>
        </w:rPr>
      </w:pPr>
      <w:r w:rsidRPr="00B228AF">
        <w:rPr>
          <w:rFonts w:asciiTheme="majorBidi" w:hAnsiTheme="majorBidi" w:cstheme="majorBidi"/>
          <w:b/>
          <w:bCs/>
          <w:sz w:val="24"/>
          <w:szCs w:val="24"/>
          <w:u w:val="single"/>
        </w:rPr>
        <w:t>Mots clés</w:t>
      </w:r>
      <w:r>
        <w:rPr>
          <w:rFonts w:asciiTheme="majorBidi" w:hAnsiTheme="majorBidi" w:cstheme="majorBidi"/>
          <w:sz w:val="24"/>
          <w:szCs w:val="24"/>
        </w:rPr>
        <w:t xml:space="preserve"> : </w:t>
      </w:r>
      <w:r w:rsidRPr="00B228AF">
        <w:rPr>
          <w:rFonts w:asciiTheme="majorBidi" w:hAnsiTheme="majorBidi" w:cstheme="majorBidi"/>
          <w:sz w:val="24"/>
          <w:szCs w:val="24"/>
        </w:rPr>
        <w:t xml:space="preserve">Convection </w:t>
      </w:r>
      <w:r>
        <w:rPr>
          <w:rFonts w:asciiTheme="majorBidi" w:hAnsiTheme="majorBidi" w:cstheme="majorBidi"/>
          <w:sz w:val="24"/>
          <w:szCs w:val="24"/>
        </w:rPr>
        <w:t>naturelle, Cavité carrée, Chauffage périodique</w:t>
      </w:r>
      <w:r w:rsidRPr="00B228AF">
        <w:rPr>
          <w:rFonts w:asciiTheme="majorBidi" w:hAnsiTheme="majorBidi" w:cstheme="majorBidi"/>
          <w:sz w:val="24"/>
          <w:szCs w:val="24"/>
        </w:rPr>
        <w:t>.</w:t>
      </w:r>
    </w:p>
    <w:p w:rsidR="00B228AF" w:rsidRDefault="00B228AF" w:rsidP="003B24FB">
      <w:pPr>
        <w:ind w:firstLine="284"/>
        <w:jc w:val="both"/>
      </w:pPr>
    </w:p>
    <w:p w:rsidR="00B228AF" w:rsidRPr="00E82CCE" w:rsidRDefault="00E82CCE" w:rsidP="003B24FB">
      <w:pPr>
        <w:jc w:val="both"/>
        <w:rPr>
          <w:rFonts w:asciiTheme="majorBidi" w:hAnsiTheme="majorBidi" w:cstheme="majorBidi"/>
          <w:b/>
          <w:bCs/>
          <w:sz w:val="24"/>
          <w:szCs w:val="24"/>
          <w:u w:val="single"/>
          <w:lang w:val="en-US"/>
        </w:rPr>
      </w:pPr>
      <w:r w:rsidRPr="00E82CCE">
        <w:rPr>
          <w:rFonts w:asciiTheme="majorBidi" w:hAnsiTheme="majorBidi" w:cstheme="majorBidi"/>
          <w:b/>
          <w:bCs/>
          <w:sz w:val="24"/>
          <w:szCs w:val="24"/>
          <w:u w:val="single"/>
          <w:lang w:val="en-US"/>
        </w:rPr>
        <w:t>Abstract</w:t>
      </w:r>
    </w:p>
    <w:p w:rsidR="000B05C0" w:rsidRPr="000B05C0" w:rsidRDefault="000B05C0" w:rsidP="003B24FB">
      <w:pPr>
        <w:ind w:firstLine="284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0B05C0">
        <w:rPr>
          <w:rFonts w:asciiTheme="majorBidi" w:hAnsiTheme="majorBidi" w:cstheme="majorBidi"/>
          <w:sz w:val="24"/>
          <w:szCs w:val="24"/>
          <w:lang w:val="en-US"/>
        </w:rPr>
        <w:t xml:space="preserve">We numerically studied the laminar natural convection in a square enclosure with constant and periodic isothermal </w:t>
      </w:r>
      <w:r w:rsidRPr="000B05C0">
        <w:rPr>
          <w:rFonts w:asciiTheme="majorBidi" w:hAnsiTheme="majorBidi" w:cstheme="majorBidi"/>
          <w:sz w:val="24"/>
          <w:szCs w:val="24"/>
          <w:lang w:val="en-US"/>
        </w:rPr>
        <w:t xml:space="preserve">heating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of the bottom wall and </w:t>
      </w:r>
      <w:r w:rsidRPr="000B05C0">
        <w:rPr>
          <w:rFonts w:asciiTheme="majorBidi" w:hAnsiTheme="majorBidi" w:cstheme="majorBidi"/>
          <w:sz w:val="24"/>
          <w:szCs w:val="24"/>
          <w:lang w:val="en-US"/>
        </w:rPr>
        <w:t xml:space="preserve">cooling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of </w:t>
      </w:r>
      <w:r w:rsidRPr="000B05C0">
        <w:rPr>
          <w:rFonts w:asciiTheme="majorBidi" w:hAnsiTheme="majorBidi" w:cstheme="majorBidi"/>
          <w:sz w:val="24"/>
          <w:szCs w:val="24"/>
          <w:lang w:val="en-US"/>
        </w:rPr>
        <w:t>the sidewalls.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0B05C0">
        <w:rPr>
          <w:rFonts w:asciiTheme="majorBidi" w:hAnsiTheme="majorBidi" w:cstheme="majorBidi"/>
          <w:sz w:val="24"/>
          <w:szCs w:val="24"/>
          <w:lang w:val="en-US"/>
        </w:rPr>
        <w:t>The upper wall considered adiabatic.</w:t>
      </w:r>
    </w:p>
    <w:p w:rsidR="001E3A9B" w:rsidRDefault="000B05C0" w:rsidP="003B24FB">
      <w:pPr>
        <w:ind w:firstLine="284"/>
        <w:jc w:val="both"/>
        <w:rPr>
          <w:rFonts w:asciiTheme="majorBidi" w:hAnsiTheme="majorBidi" w:cstheme="majorBidi"/>
          <w:sz w:val="24"/>
          <w:szCs w:val="24"/>
          <w:lang w:val="en-US"/>
        </w:rPr>
      </w:pPr>
      <w:r>
        <w:rPr>
          <w:rFonts w:asciiTheme="majorBidi" w:hAnsiTheme="majorBidi" w:cstheme="majorBidi"/>
          <w:sz w:val="24"/>
          <w:szCs w:val="24"/>
          <w:lang w:val="en-US"/>
        </w:rPr>
        <w:t>Study states</w:t>
      </w:r>
      <w:r w:rsidRPr="000B05C0">
        <w:rPr>
          <w:rFonts w:asciiTheme="majorBidi" w:hAnsiTheme="majorBidi" w:cstheme="majorBidi"/>
          <w:sz w:val="24"/>
          <w:szCs w:val="24"/>
          <w:lang w:val="en-US"/>
        </w:rPr>
        <w:t xml:space="preserve"> forms of Navier-Stokes equations in two dimensions and the conservation equations of mass and </w:t>
      </w:r>
      <w:r w:rsidRPr="000B05C0">
        <w:rPr>
          <w:rFonts w:asciiTheme="majorBidi" w:hAnsiTheme="majorBidi" w:cstheme="majorBidi"/>
          <w:sz w:val="24"/>
          <w:szCs w:val="24"/>
          <w:lang w:val="en-US"/>
        </w:rPr>
        <w:t>energy</w:t>
      </w:r>
      <w:r w:rsidRPr="000B05C0">
        <w:rPr>
          <w:rFonts w:asciiTheme="majorBidi" w:hAnsiTheme="majorBidi" w:cstheme="majorBidi"/>
          <w:sz w:val="24"/>
          <w:szCs w:val="24"/>
          <w:lang w:val="en-US"/>
        </w:rPr>
        <w:t xml:space="preserve"> will be resolved by the method of finite volumes based on the Boussinesq approximation. The Rayleigh number was varied in the range 10</w:t>
      </w:r>
      <w:r w:rsidRPr="000B05C0">
        <w:rPr>
          <w:rFonts w:asciiTheme="majorBidi" w:hAnsiTheme="majorBidi" w:cstheme="majorBidi"/>
          <w:sz w:val="24"/>
          <w:szCs w:val="24"/>
          <w:vertAlign w:val="superscript"/>
          <w:lang w:val="en-US"/>
        </w:rPr>
        <w:t>3</w:t>
      </w:r>
      <w:r w:rsidRPr="000B05C0">
        <w:rPr>
          <w:rFonts w:asciiTheme="majorBidi" w:hAnsiTheme="majorBidi" w:cstheme="majorBidi"/>
          <w:sz w:val="24"/>
          <w:szCs w:val="24"/>
          <w:lang w:val="en-US"/>
        </w:rPr>
        <w:t>-10</w:t>
      </w:r>
      <w:r w:rsidRPr="000B05C0">
        <w:rPr>
          <w:rFonts w:asciiTheme="majorBidi" w:hAnsiTheme="majorBidi" w:cstheme="majorBidi"/>
          <w:sz w:val="24"/>
          <w:szCs w:val="24"/>
          <w:vertAlign w:val="superscript"/>
          <w:lang w:val="en-US"/>
        </w:rPr>
        <w:t>5</w:t>
      </w:r>
      <w:r w:rsidRPr="000B05C0">
        <w:rPr>
          <w:rFonts w:asciiTheme="majorBidi" w:hAnsiTheme="majorBidi" w:cstheme="majorBidi"/>
          <w:sz w:val="24"/>
          <w:szCs w:val="24"/>
          <w:lang w:val="en-US"/>
        </w:rPr>
        <w:t>.</w:t>
      </w:r>
    </w:p>
    <w:p w:rsidR="000B05C0" w:rsidRDefault="000B05C0" w:rsidP="003B24FB">
      <w:pPr>
        <w:ind w:firstLine="284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0B05C0">
        <w:rPr>
          <w:rFonts w:asciiTheme="majorBidi" w:hAnsiTheme="majorBidi" w:cstheme="majorBidi"/>
          <w:sz w:val="24"/>
          <w:szCs w:val="24"/>
          <w:lang w:val="en-US"/>
        </w:rPr>
        <w:t>The stream functions and isotherms are presented for various combinations of Ra and heating condition.</w:t>
      </w:r>
      <w:r w:rsidRPr="000B05C0">
        <w:rPr>
          <w:lang w:val="en-US"/>
        </w:rPr>
        <w:t xml:space="preserve"> </w:t>
      </w:r>
      <w:r w:rsidRPr="000B05C0">
        <w:rPr>
          <w:rFonts w:asciiTheme="majorBidi" w:hAnsiTheme="majorBidi" w:cstheme="majorBidi"/>
          <w:sz w:val="24"/>
          <w:szCs w:val="24"/>
          <w:lang w:val="en-US"/>
        </w:rPr>
        <w:t>The results will also be presented as a number of local and average Nusselt number on the heated wall.</w:t>
      </w:r>
    </w:p>
    <w:p w:rsidR="000B05C0" w:rsidRPr="000B05C0" w:rsidRDefault="000B05C0" w:rsidP="003B24FB">
      <w:pPr>
        <w:ind w:firstLine="284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0B05C0">
        <w:rPr>
          <w:rFonts w:asciiTheme="majorBidi" w:hAnsiTheme="majorBidi" w:cstheme="majorBidi"/>
          <w:sz w:val="24"/>
          <w:szCs w:val="24"/>
          <w:lang w:val="en-US"/>
        </w:rPr>
        <w:t>The results show that the contours of stream functions and isotherms are symmetrical about the center of the vertical line for the two cases.</w:t>
      </w:r>
      <w:r w:rsidR="003B24FB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0B05C0">
        <w:rPr>
          <w:rFonts w:asciiTheme="majorBidi" w:hAnsiTheme="majorBidi" w:cstheme="majorBidi"/>
          <w:sz w:val="24"/>
          <w:szCs w:val="24"/>
          <w:lang w:val="en-US"/>
        </w:rPr>
        <w:t xml:space="preserve">The intensity </w:t>
      </w:r>
      <w:r w:rsidR="003B24FB">
        <w:rPr>
          <w:rFonts w:asciiTheme="majorBidi" w:hAnsiTheme="majorBidi" w:cstheme="majorBidi"/>
          <w:sz w:val="24"/>
          <w:szCs w:val="24"/>
          <w:lang w:val="en-US"/>
        </w:rPr>
        <w:t>the stream function</w:t>
      </w:r>
      <w:r w:rsidRPr="000B05C0">
        <w:rPr>
          <w:rFonts w:asciiTheme="majorBidi" w:hAnsiTheme="majorBidi" w:cstheme="majorBidi"/>
          <w:sz w:val="24"/>
          <w:szCs w:val="24"/>
          <w:lang w:val="en-US"/>
        </w:rPr>
        <w:t xml:space="preserve"> is greater for the case of uniform heating compared with the case of sinusoidal heating for all values ​​of Rayleigh number.</w:t>
      </w:r>
      <w:r w:rsidR="003B24FB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0B05C0">
        <w:rPr>
          <w:rFonts w:asciiTheme="majorBidi" w:hAnsiTheme="majorBidi" w:cstheme="majorBidi"/>
          <w:sz w:val="24"/>
          <w:szCs w:val="24"/>
          <w:lang w:val="en-US"/>
        </w:rPr>
        <w:t>The average Nusselt number increases with increase in Ra on bottom wall.</w:t>
      </w:r>
      <w:r w:rsidR="003B24FB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0B05C0">
        <w:rPr>
          <w:rFonts w:asciiTheme="majorBidi" w:hAnsiTheme="majorBidi" w:cstheme="majorBidi"/>
          <w:sz w:val="24"/>
          <w:szCs w:val="24"/>
          <w:lang w:val="en-US"/>
        </w:rPr>
        <w:t>The average Nusselt number for the case of the bottom wall is maintained at a constant temperature is maintained higher than a temperature on the hot sinusoidal wall.</w:t>
      </w:r>
    </w:p>
    <w:p w:rsidR="003B24FB" w:rsidRDefault="003B24FB" w:rsidP="000B05C0">
      <w:pPr>
        <w:rPr>
          <w:rFonts w:asciiTheme="majorBidi" w:hAnsiTheme="majorBidi" w:cstheme="majorBidi"/>
          <w:b/>
          <w:bCs/>
          <w:sz w:val="24"/>
          <w:szCs w:val="24"/>
          <w:u w:val="single"/>
          <w:lang w:val="en-US"/>
        </w:rPr>
      </w:pPr>
    </w:p>
    <w:p w:rsidR="000B05C0" w:rsidRPr="000B05C0" w:rsidRDefault="000B05C0" w:rsidP="000B05C0">
      <w:pPr>
        <w:rPr>
          <w:rFonts w:asciiTheme="majorBidi" w:hAnsiTheme="majorBidi" w:cstheme="majorBidi"/>
          <w:sz w:val="24"/>
          <w:szCs w:val="24"/>
          <w:lang w:val="en-US"/>
        </w:rPr>
      </w:pPr>
      <w:r w:rsidRPr="003B24FB">
        <w:rPr>
          <w:rFonts w:asciiTheme="majorBidi" w:hAnsiTheme="majorBidi" w:cstheme="majorBidi"/>
          <w:b/>
          <w:bCs/>
          <w:sz w:val="24"/>
          <w:szCs w:val="24"/>
          <w:u w:val="single"/>
          <w:lang w:val="en-US"/>
        </w:rPr>
        <w:t>Keywords</w:t>
      </w:r>
      <w:r w:rsidRPr="000B05C0">
        <w:rPr>
          <w:rFonts w:asciiTheme="majorBidi" w:hAnsiTheme="majorBidi" w:cstheme="majorBidi"/>
          <w:sz w:val="24"/>
          <w:szCs w:val="24"/>
          <w:lang w:val="en-US"/>
        </w:rPr>
        <w:t>: Natural convection, square cavity, periodic heating.</w:t>
      </w:r>
    </w:p>
    <w:sectPr w:rsidR="000B05C0" w:rsidRPr="000B05C0" w:rsidSect="003B24FB">
      <w:pgSz w:w="11906" w:h="16838"/>
      <w:pgMar w:top="851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35F6" w:rsidRDefault="000635F6" w:rsidP="00EE5287">
      <w:pPr>
        <w:spacing w:after="0" w:line="240" w:lineRule="auto"/>
      </w:pPr>
      <w:r>
        <w:separator/>
      </w:r>
    </w:p>
  </w:endnote>
  <w:endnote w:type="continuationSeparator" w:id="0">
    <w:p w:rsidR="000635F6" w:rsidRDefault="000635F6" w:rsidP="00EE52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35F6" w:rsidRDefault="000635F6" w:rsidP="00EE5287">
      <w:pPr>
        <w:spacing w:after="0" w:line="240" w:lineRule="auto"/>
      </w:pPr>
      <w:r>
        <w:separator/>
      </w:r>
    </w:p>
  </w:footnote>
  <w:footnote w:type="continuationSeparator" w:id="0">
    <w:p w:rsidR="000635F6" w:rsidRDefault="000635F6" w:rsidP="00EE52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2B7958"/>
    <w:multiLevelType w:val="hybridMultilevel"/>
    <w:tmpl w:val="28DE518A"/>
    <w:lvl w:ilvl="0" w:tplc="040C000B">
      <w:start w:val="1"/>
      <w:numFmt w:val="bullet"/>
      <w:lvlText w:val=""/>
      <w:lvlJc w:val="left"/>
      <w:pPr>
        <w:ind w:left="92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">
    <w:nsid w:val="17FD7D8B"/>
    <w:multiLevelType w:val="hybridMultilevel"/>
    <w:tmpl w:val="59D80D8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3E0313"/>
    <w:multiLevelType w:val="hybridMultilevel"/>
    <w:tmpl w:val="1D9EB2A4"/>
    <w:lvl w:ilvl="0" w:tplc="040C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47927627"/>
    <w:multiLevelType w:val="hybridMultilevel"/>
    <w:tmpl w:val="C40E0108"/>
    <w:lvl w:ilvl="0" w:tplc="8E1E8BD4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EC7A59"/>
    <w:multiLevelType w:val="hybridMultilevel"/>
    <w:tmpl w:val="A9B61CDE"/>
    <w:lvl w:ilvl="0" w:tplc="1342324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4841783"/>
    <w:multiLevelType w:val="hybridMultilevel"/>
    <w:tmpl w:val="C15EBE74"/>
    <w:lvl w:ilvl="0" w:tplc="DFA099B0">
      <w:start w:val="1"/>
      <w:numFmt w:val="bullet"/>
      <w:lvlText w:val="-"/>
      <w:lvlJc w:val="left"/>
      <w:pPr>
        <w:ind w:left="417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7" w:hanging="360"/>
      </w:pPr>
      <w:rPr>
        <w:rFonts w:ascii="Wingdings" w:hAnsi="Wingdings" w:hint="default"/>
      </w:rPr>
    </w:lvl>
  </w:abstractNum>
  <w:abstractNum w:abstractNumId="6">
    <w:nsid w:val="57BB7C99"/>
    <w:multiLevelType w:val="hybridMultilevel"/>
    <w:tmpl w:val="623024B8"/>
    <w:lvl w:ilvl="0" w:tplc="9800A7F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A164404"/>
    <w:multiLevelType w:val="hybridMultilevel"/>
    <w:tmpl w:val="238ABE4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25769BE"/>
    <w:multiLevelType w:val="hybridMultilevel"/>
    <w:tmpl w:val="7234C314"/>
    <w:lvl w:ilvl="0" w:tplc="61F0C65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C05880"/>
    <w:multiLevelType w:val="hybridMultilevel"/>
    <w:tmpl w:val="B3289DC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EBC6D76"/>
    <w:multiLevelType w:val="hybridMultilevel"/>
    <w:tmpl w:val="5E7AF90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6847059"/>
    <w:multiLevelType w:val="hybridMultilevel"/>
    <w:tmpl w:val="E7E0110E"/>
    <w:lvl w:ilvl="0" w:tplc="3FE82DCA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7FD6D5A"/>
    <w:multiLevelType w:val="hybridMultilevel"/>
    <w:tmpl w:val="C99AA3E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CF2A5F"/>
    <w:multiLevelType w:val="hybridMultilevel"/>
    <w:tmpl w:val="B54A550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8"/>
  </w:num>
  <w:num w:numId="3">
    <w:abstractNumId w:val="5"/>
  </w:num>
  <w:num w:numId="4">
    <w:abstractNumId w:val="0"/>
  </w:num>
  <w:num w:numId="5">
    <w:abstractNumId w:val="2"/>
  </w:num>
  <w:num w:numId="6">
    <w:abstractNumId w:val="10"/>
  </w:num>
  <w:num w:numId="7">
    <w:abstractNumId w:val="4"/>
  </w:num>
  <w:num w:numId="8">
    <w:abstractNumId w:val="6"/>
  </w:num>
  <w:num w:numId="9">
    <w:abstractNumId w:val="13"/>
  </w:num>
  <w:num w:numId="10">
    <w:abstractNumId w:val="9"/>
  </w:num>
  <w:num w:numId="11">
    <w:abstractNumId w:val="1"/>
  </w:num>
  <w:num w:numId="12">
    <w:abstractNumId w:val="12"/>
  </w:num>
  <w:num w:numId="13">
    <w:abstractNumId w:val="3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5287"/>
    <w:rsid w:val="000635F6"/>
    <w:rsid w:val="0007282B"/>
    <w:rsid w:val="0007427B"/>
    <w:rsid w:val="000B05C0"/>
    <w:rsid w:val="00171034"/>
    <w:rsid w:val="001D1B08"/>
    <w:rsid w:val="001E3A9B"/>
    <w:rsid w:val="0022424F"/>
    <w:rsid w:val="00233B7F"/>
    <w:rsid w:val="00287A20"/>
    <w:rsid w:val="00287ED3"/>
    <w:rsid w:val="002E2871"/>
    <w:rsid w:val="0039449F"/>
    <w:rsid w:val="003A58B5"/>
    <w:rsid w:val="003A7E57"/>
    <w:rsid w:val="003B24FB"/>
    <w:rsid w:val="004A006B"/>
    <w:rsid w:val="00500BF3"/>
    <w:rsid w:val="00547A22"/>
    <w:rsid w:val="005D1F09"/>
    <w:rsid w:val="005F2921"/>
    <w:rsid w:val="00652BDF"/>
    <w:rsid w:val="006C586B"/>
    <w:rsid w:val="006D7FCB"/>
    <w:rsid w:val="008219FB"/>
    <w:rsid w:val="00833DC7"/>
    <w:rsid w:val="00945084"/>
    <w:rsid w:val="00993F3E"/>
    <w:rsid w:val="009B2A14"/>
    <w:rsid w:val="00A574EF"/>
    <w:rsid w:val="00AA69EE"/>
    <w:rsid w:val="00B228AF"/>
    <w:rsid w:val="00B3518D"/>
    <w:rsid w:val="00B3571A"/>
    <w:rsid w:val="00B7344C"/>
    <w:rsid w:val="00B82BDD"/>
    <w:rsid w:val="00C46871"/>
    <w:rsid w:val="00D14FD9"/>
    <w:rsid w:val="00D758B9"/>
    <w:rsid w:val="00D81D34"/>
    <w:rsid w:val="00E82CCE"/>
    <w:rsid w:val="00EA43BA"/>
    <w:rsid w:val="00EE0315"/>
    <w:rsid w:val="00EE5287"/>
    <w:rsid w:val="00F33C72"/>
    <w:rsid w:val="00F46064"/>
    <w:rsid w:val="00FB5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137AB51D-7855-4A38-AA6A-1D8619F85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E528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E52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E5287"/>
  </w:style>
  <w:style w:type="paragraph" w:styleId="Pieddepage">
    <w:name w:val="footer"/>
    <w:basedOn w:val="Normal"/>
    <w:link w:val="PieddepageCar"/>
    <w:uiPriority w:val="99"/>
    <w:unhideWhenUsed/>
    <w:rsid w:val="00EE52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E5287"/>
  </w:style>
  <w:style w:type="paragraph" w:styleId="Textedebulles">
    <w:name w:val="Balloon Text"/>
    <w:basedOn w:val="Normal"/>
    <w:link w:val="TextedebullesCar"/>
    <w:uiPriority w:val="99"/>
    <w:semiHidden/>
    <w:unhideWhenUsed/>
    <w:rsid w:val="00EE52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E5287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94508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4A00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apple-converted-space">
    <w:name w:val="apple-converted-space"/>
    <w:basedOn w:val="Policepardfaut"/>
    <w:rsid w:val="004A006B"/>
  </w:style>
  <w:style w:type="character" w:styleId="lev">
    <w:name w:val="Strong"/>
    <w:basedOn w:val="Policepardfaut"/>
    <w:uiPriority w:val="22"/>
    <w:qFormat/>
    <w:rsid w:val="004A006B"/>
    <w:rPr>
      <w:b/>
      <w:bCs/>
    </w:rPr>
  </w:style>
  <w:style w:type="character" w:customStyle="1" w:styleId="lienglossaire">
    <w:name w:val="lienglossaire"/>
    <w:basedOn w:val="Policepardfaut"/>
    <w:rsid w:val="004A006B"/>
  </w:style>
  <w:style w:type="character" w:styleId="Lienhypertexte">
    <w:name w:val="Hyperlink"/>
    <w:basedOn w:val="Policepardfaut"/>
    <w:uiPriority w:val="99"/>
    <w:semiHidden/>
    <w:unhideWhenUsed/>
    <w:rsid w:val="004A006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348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CHAPITRE I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</TotalTime>
  <Pages>1</Pages>
  <Words>422</Words>
  <Characters>2322</Characters>
  <Application>Microsoft Office Word</Application>
  <DocSecurity>0</DocSecurity>
  <Lines>19</Lines>
  <Paragraphs>5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ANALYSE BIBLIOGRAPHIQUE</vt:lpstr>
      <vt:lpstr>ANALYSE BIBLIOGRAPHIQUE</vt:lpstr>
    </vt:vector>
  </TitlesOfParts>
  <Company/>
  <LinksUpToDate>false</LinksUpToDate>
  <CharactersWithSpaces>2739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ANALYSE BIBLIOGRAPHIQUE</dc:title>
  <dc:creator>CHAMSO</dc:creator>
  <cp:lastModifiedBy>tahar</cp:lastModifiedBy>
  <cp:revision>25</cp:revision>
  <dcterms:created xsi:type="dcterms:W3CDTF">2013-12-29T11:29:00Z</dcterms:created>
  <dcterms:modified xsi:type="dcterms:W3CDTF">2014-06-08T11:19:00Z</dcterms:modified>
</cp:coreProperties>
</file>